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heading=h.26in1rg" w:id="1"/>
      <w:bookmarkEnd w:id="1"/>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w:t>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bookmarkStart w:colFirst="0" w:colLast="0" w:name="_heading=h.lnxbz9" w:id="4"/>
      <w:bookmarkEnd w:id="4"/>
      <w:r w:rsidDel="00000000" w:rsidR="00000000" w:rsidRPr="00000000">
        <w:rPr>
          <w:rtl w:val="0"/>
        </w:rPr>
      </w:r>
    </w:p>
    <w:p w:rsidR="00000000" w:rsidDel="00000000" w:rsidP="00000000" w:rsidRDefault="00000000" w:rsidRPr="00000000" w14:paraId="00000013">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2"/>
      <w:bookmarkEnd w:id="12"/>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w:t>
      </w:r>
    </w:p>
    <w:p w:rsidR="00000000" w:rsidDel="00000000" w:rsidP="00000000" w:rsidRDefault="00000000" w:rsidRPr="00000000" w14:paraId="0000005C">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8">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9">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(life cycle costs, cost effectiveness &amp; price; price and running costs)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spacing w:after="20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50%  </w:t>
            </w:r>
          </w:p>
          <w:p w:rsidR="00000000" w:rsidDel="00000000" w:rsidP="00000000" w:rsidRDefault="00000000" w:rsidRPr="00000000" w14:paraId="0000006C">
            <w:pPr>
              <w:spacing w:after="20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 merit; coverage, network capacity and performance as specified in relevant service levels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widowControl w:val="1"/>
              <w:spacing w:after="20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p w:rsidR="00000000" w:rsidDel="00000000" w:rsidP="00000000" w:rsidRDefault="00000000" w:rsidRPr="00000000" w14:paraId="0000006F">
            <w:pPr>
              <w:spacing w:after="20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p>
        </w:tc>
      </w:tr>
    </w:tbl>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 In keeping with PPN 06/20, the Buyer should agree with the Supplier what they can and will do to help work towards the social value priorities set out in the Framework Schedule 1 (Specification).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p>
    <w:p w:rsidR="00000000" w:rsidDel="00000000" w:rsidP="00000000" w:rsidRDefault="00000000" w:rsidRPr="00000000" w14:paraId="00000072">
      <w:pPr>
        <w:widowControl w:val="1"/>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 Guidance Note *Buyers in scope of PPN 06/20 should give social value a minimum weighting of 10% of the total score.* ]</w:t>
      </w: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4">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873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5"/>
        <w:gridCol w:w="4154"/>
        <w:gridCol w:w="3051"/>
        <w:tblGridChange w:id="0">
          <w:tblGrid>
            <w:gridCol w:w="1525"/>
            <w:gridCol w:w="4154"/>
            <w:gridCol w:w="3051"/>
          </w:tblGrid>
        </w:tblGridChange>
      </w:tblGrid>
      <w:tr>
        <w:trPr>
          <w:cantSplit w:val="0"/>
          <w:tblHeader w:val="0"/>
        </w:trPr>
        <w:tc>
          <w:tcPr>
            <w:shd w:fill="e7e6e6" w:val="clear"/>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color w:val="000000"/>
              </w:rPr>
            </w:pPr>
            <w:r w:rsidDel="00000000" w:rsidR="00000000" w:rsidRPr="00000000">
              <w:rPr>
                <w:rFonts w:ascii="Arial" w:cs="Arial" w:eastAsia="Arial" w:hAnsi="Arial"/>
                <w:color w:val="000000"/>
                <w:rtl w:val="0"/>
              </w:rPr>
              <w:t xml:space="preserve">Quality to include Social Value*</w:t>
            </w:r>
          </w:p>
        </w:tc>
        <w:tc>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rtl w:val="0"/>
              </w:rPr>
              <w:t xml:space="preserve">6</w:t>
            </w:r>
            <w:r w:rsidDel="00000000" w:rsidR="00000000" w:rsidRPr="00000000">
              <w:rPr>
                <w:rFonts w:ascii="Arial" w:cs="Arial" w:eastAsia="Arial" w:hAnsi="Arial"/>
                <w:color w:val="000000"/>
                <w:rtl w:val="0"/>
              </w:rPr>
              <w:t xml:space="preserve">0%</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or - 20%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0% to </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0%) </w:t>
            </w:r>
          </w:p>
        </w:tc>
      </w:tr>
      <w:tr>
        <w:trPr>
          <w:cantSplit w:val="0"/>
          <w:tblHeader w:val="0"/>
        </w:trPr>
        <w:tc>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0%</w:t>
            </w:r>
          </w:p>
        </w:tc>
        <w:tc>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or - </w:t>
            </w:r>
            <w:r w:rsidDel="00000000" w:rsidR="00000000" w:rsidRPr="00000000">
              <w:rPr>
                <w:rFonts w:ascii="Arial" w:cs="Arial" w:eastAsia="Arial" w:hAnsi="Arial"/>
                <w:rtl w:val="0"/>
              </w:rPr>
              <w:t xml:space="preserve">20</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20</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60</w:t>
            </w:r>
            <w:r w:rsidDel="00000000" w:rsidR="00000000" w:rsidRPr="00000000">
              <w:rPr>
                <w:rFonts w:ascii="Arial" w:cs="Arial" w:eastAsia="Arial" w:hAnsi="Arial"/>
                <w:color w:val="000000"/>
                <w:rtl w:val="0"/>
              </w:rPr>
              <w:t xml:space="preserve">%) </w:t>
            </w:r>
          </w:p>
        </w:tc>
      </w:tr>
    </w:tb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highlight w:val="yellow"/>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highlight w:val="yellow"/>
          <w:rtl w:val="0"/>
        </w:rPr>
        <w:t xml:space="preserve">[ Guidance Note </w:t>
      </w:r>
      <w:r w:rsidDel="00000000" w:rsidR="00000000" w:rsidRPr="00000000">
        <w:rPr>
          <w:rFonts w:ascii="Arial" w:cs="Arial" w:eastAsia="Arial" w:hAnsi="Arial"/>
          <w:color w:val="000000"/>
          <w:sz w:val="24"/>
          <w:szCs w:val="24"/>
          <w:highlight w:val="yellow"/>
          <w:rtl w:val="0"/>
        </w:rPr>
        <w:t xml:space="preserve">*Buyers in scope of PPN 06/20 </w:t>
      </w:r>
      <w:r w:rsidDel="00000000" w:rsidR="00000000" w:rsidRPr="00000000">
        <w:rPr>
          <w:rFonts w:ascii="Arial" w:cs="Arial" w:eastAsia="Arial" w:hAnsi="Arial"/>
          <w:sz w:val="24"/>
          <w:szCs w:val="24"/>
          <w:highlight w:val="yellow"/>
          <w:rtl w:val="0"/>
        </w:rPr>
        <w:t xml:space="preserve">should give </w:t>
      </w:r>
      <w:r w:rsidDel="00000000" w:rsidR="00000000" w:rsidRPr="00000000">
        <w:rPr>
          <w:rFonts w:ascii="Arial" w:cs="Arial" w:eastAsia="Arial" w:hAnsi="Arial"/>
          <w:color w:val="000000"/>
          <w:sz w:val="24"/>
          <w:szCs w:val="24"/>
          <w:highlight w:val="yellow"/>
          <w:rtl w:val="0"/>
        </w:rPr>
        <w:t xml:space="preserve">social value a minimum weighting of 10%</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of the total</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score.* </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RM6282</w:t>
      <w:tab/>
      <w:t xml:space="preserve">                                           </w:t>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4"/>
    <w:bookmarkEnd w:id="14"/>
    <w:r w:rsidDel="00000000" w:rsidR="00000000" w:rsidRPr="00000000">
      <w:rPr>
        <w:rFonts w:ascii="Arial" w:cs="Arial" w:eastAsia="Arial" w:hAnsi="Arial"/>
        <w:sz w:val="20"/>
        <w:szCs w:val="20"/>
        <w:rtl w:val="0"/>
      </w:rPr>
      <w:t xml:space="preserve">Model Version: v3.4</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4"/>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4"/>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4"/>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VeHsEebjU7S4Jyzj0kELuOnh8g==">AMUW2mXm5WvleSg3+axfhnGUzitP+YeeCIwrkR1ezQ7iThUwXTn1/hfNh+eWtPiz6h1nJmUrksD7zh/fBb42QvMzNSOpVJLHoS8BG3QtLDM3AEZcbgwZKGzq/JUcUyAUbT63tZU5lL0mX2CLnMxpnXgNh8LZWpec6j5HO44e52KQqxZ1szOAObyZ4zTBIfWK4tr5/aGqyPT23RRBbB+K6uM6WtC1gjbs2nxwOoBoyoUaOQHgOlRQTV5w2Vgv1FY4PdIsxfLMGc+FGP2mwG2lOZ3p42KKrtflcbRo02dEC0xawAMaHKKpEwJrCkXNvlX5XE5B5i/rMml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